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1AA80" w14:textId="657B7202" w:rsidR="009F4D40" w:rsidRPr="00CE3AFA" w:rsidRDefault="009F4D40" w:rsidP="00CB3950">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proofErr w:type="gramStart"/>
      <w:r w:rsidR="002C5C5F" w:rsidRPr="00CE3AFA">
        <w:rPr>
          <w:rFonts w:cs="Arial"/>
          <w:bCs/>
          <w:sz w:val="28"/>
          <w:szCs w:val="28"/>
        </w:rPr>
        <w:t>a</w:t>
      </w:r>
      <w:r w:rsidRPr="00CE3AFA">
        <w:rPr>
          <w:rFonts w:cs="Arial"/>
          <w:bCs/>
          <w:sz w:val="28"/>
          <w:szCs w:val="28"/>
        </w:rPr>
        <w:t>dults</w:t>
      </w:r>
      <w:proofErr w:type="gramEnd"/>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29FC0F55" w:rsidR="00B76465" w:rsidRPr="00E50D92" w:rsidRDefault="00B76465" w:rsidP="00CB3950">
      <w:pPr>
        <w:spacing w:before="120" w:after="120" w:line="360" w:lineRule="auto"/>
        <w:rPr>
          <w:rFonts w:cs="Arial"/>
          <w:b/>
          <w:bCs/>
          <w:szCs w:val="22"/>
        </w:rPr>
      </w:pPr>
      <w:r w:rsidRPr="00E50D92">
        <w:rPr>
          <w:rFonts w:cs="Arial"/>
          <w:b/>
          <w:bCs/>
          <w:szCs w:val="22"/>
        </w:rPr>
        <w:t xml:space="preserve">The </w:t>
      </w:r>
      <w:r w:rsidR="00CF2A39">
        <w:rPr>
          <w:rFonts w:cs="Arial"/>
          <w:b/>
          <w:bCs/>
          <w:szCs w:val="22"/>
        </w:rPr>
        <w:t>D</w:t>
      </w:r>
      <w:r w:rsidRPr="00E50D92">
        <w:rPr>
          <w:rFonts w:cs="Arial"/>
          <w:b/>
          <w:bCs/>
          <w:szCs w:val="22"/>
        </w:rPr>
        <w:t xml:space="preserve">esignated </w:t>
      </w:r>
      <w:r w:rsidR="00CF2A39">
        <w:rPr>
          <w:rFonts w:cs="Arial"/>
          <w:b/>
          <w:bCs/>
          <w:szCs w:val="22"/>
        </w:rPr>
        <w:t>Safeguarding Lead</w:t>
      </w:r>
      <w:r w:rsidRPr="00E50D92">
        <w:rPr>
          <w:rFonts w:cs="Arial"/>
          <w:b/>
          <w:bCs/>
          <w:szCs w:val="22"/>
        </w:rPr>
        <w:t xml:space="preserve"> is</w:t>
      </w:r>
      <w:r w:rsidR="000C120B" w:rsidRPr="00E50D92">
        <w:rPr>
          <w:rFonts w:cs="Arial"/>
          <w:b/>
          <w:bCs/>
          <w:szCs w:val="22"/>
        </w:rPr>
        <w:t xml:space="preserve"> </w:t>
      </w:r>
      <w:r w:rsidR="00CF2A39">
        <w:rPr>
          <w:rFonts w:cs="Arial"/>
          <w:szCs w:val="22"/>
        </w:rPr>
        <w:t xml:space="preserve">Magdalena </w:t>
      </w:r>
      <w:proofErr w:type="spellStart"/>
      <w:r w:rsidR="00CF2A39">
        <w:rPr>
          <w:rFonts w:cs="Arial"/>
          <w:szCs w:val="22"/>
        </w:rPr>
        <w:t>Sarzalska</w:t>
      </w:r>
      <w:proofErr w:type="spellEnd"/>
      <w:r w:rsidR="00CF2A39">
        <w:rPr>
          <w:rFonts w:cs="Arial"/>
          <w:szCs w:val="22"/>
        </w:rPr>
        <w:t>,</w:t>
      </w:r>
      <w:r w:rsidR="000C120B" w:rsidRPr="00E50D92">
        <w:rPr>
          <w:rFonts w:cs="Arial"/>
          <w:szCs w:val="22"/>
        </w:rPr>
        <w:t xml:space="preserve"> </w:t>
      </w:r>
      <w:r w:rsidR="000C120B" w:rsidRPr="00E50D92">
        <w:rPr>
          <w:rFonts w:cs="Arial"/>
          <w:b/>
          <w:bCs/>
          <w:szCs w:val="22"/>
        </w:rPr>
        <w:t xml:space="preserve">the </w:t>
      </w:r>
      <w:r w:rsidR="00545185">
        <w:rPr>
          <w:rFonts w:cs="Arial"/>
          <w:b/>
          <w:bCs/>
          <w:szCs w:val="22"/>
        </w:rPr>
        <w:t>Deputy DSL is</w:t>
      </w:r>
      <w:r w:rsidR="00CF2A39">
        <w:rPr>
          <w:rFonts w:cs="Arial"/>
          <w:b/>
          <w:bCs/>
          <w:szCs w:val="22"/>
        </w:rPr>
        <w:t xml:space="preserve"> </w:t>
      </w:r>
      <w:r w:rsidR="00545185">
        <w:rPr>
          <w:rFonts w:cs="Arial"/>
          <w:b/>
          <w:bCs/>
          <w:szCs w:val="22"/>
        </w:rPr>
        <w:t xml:space="preserve">Asafa </w:t>
      </w:r>
      <w:proofErr w:type="spellStart"/>
      <w:r w:rsidR="00545185">
        <w:rPr>
          <w:rFonts w:cs="Arial"/>
          <w:b/>
          <w:bCs/>
          <w:szCs w:val="22"/>
        </w:rPr>
        <w:t>Kponou</w:t>
      </w:r>
      <w:proofErr w:type="spellEnd"/>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7A3E1379"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w:t>
      </w:r>
      <w:r w:rsidR="00777705">
        <w:rPr>
          <w:rFonts w:cs="Arial"/>
          <w:bCs/>
          <w:szCs w:val="22"/>
        </w:rPr>
        <w:t xml:space="preserve"> safeguarding lead</w:t>
      </w:r>
      <w:r w:rsidRPr="00CB3950">
        <w:rPr>
          <w:rFonts w:cs="Arial"/>
          <w:b/>
          <w:szCs w:val="22"/>
        </w:rPr>
        <w:t xml:space="preserve"> </w:t>
      </w:r>
      <w:r w:rsidRPr="00CB3950">
        <w:rPr>
          <w:rFonts w:cs="Arial"/>
          <w:bCs/>
          <w:szCs w:val="22"/>
        </w:rPr>
        <w:t xml:space="preserve">or a </w:t>
      </w:r>
      <w:r w:rsidR="00777705">
        <w:rPr>
          <w:rFonts w:cs="Arial"/>
          <w:bCs/>
          <w:szCs w:val="22"/>
        </w:rPr>
        <w:t>DSL deputy</w:t>
      </w:r>
      <w:r w:rsidRPr="00CB3950">
        <w:rPr>
          <w:rFonts w:cs="Arial"/>
          <w:bCs/>
          <w:szCs w:val="22"/>
        </w:rPr>
        <w:t>.</w:t>
      </w:r>
    </w:p>
    <w:p w14:paraId="1741ED4C" w14:textId="1A28D476"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00777705">
        <w:rPr>
          <w:rFonts w:cs="Arial"/>
          <w:bCs/>
          <w:color w:val="000000"/>
          <w:szCs w:val="22"/>
        </w:rPr>
        <w:t>DSL</w:t>
      </w:r>
      <w:r w:rsidRPr="00CB3950">
        <w:rPr>
          <w:rFonts w:cs="Arial"/>
          <w:bCs/>
          <w:color w:val="000000"/>
          <w:szCs w:val="22"/>
        </w:rPr>
        <w:t xml:space="preserve"> or </w:t>
      </w:r>
      <w:r w:rsidR="00777705">
        <w:rPr>
          <w:rFonts w:cs="Arial"/>
          <w:bCs/>
          <w:color w:val="000000"/>
          <w:szCs w:val="22"/>
        </w:rPr>
        <w:t>DSL deputy</w:t>
      </w:r>
      <w:r w:rsidRPr="00CB3950">
        <w:rPr>
          <w:rFonts w:cs="Arial"/>
          <w:bCs/>
          <w:color w:val="000000"/>
          <w:szCs w:val="22"/>
        </w:rPr>
        <w:t>.</w:t>
      </w:r>
    </w:p>
    <w:p w14:paraId="628557C9" w14:textId="0E276EEF" w:rsidR="00960504" w:rsidRPr="00CB3950" w:rsidRDefault="00960504" w:rsidP="00777705">
      <w:pPr>
        <w:numPr>
          <w:ilvl w:val="0"/>
          <w:numId w:val="31"/>
        </w:numPr>
        <w:spacing w:before="120" w:after="120" w:line="360" w:lineRule="auto"/>
        <w:ind w:left="357" w:hanging="357"/>
        <w:rPr>
          <w:rFonts w:cs="Arial"/>
          <w:bCs/>
          <w:szCs w:val="22"/>
        </w:rPr>
      </w:pPr>
      <w:r w:rsidRPr="00CB3950">
        <w:rPr>
          <w:rFonts w:cs="Arial"/>
          <w:szCs w:val="22"/>
        </w:rPr>
        <w:t xml:space="preserve">The designated </w:t>
      </w:r>
      <w:r w:rsidR="00777705">
        <w:rPr>
          <w:rFonts w:cs="Arial"/>
          <w:szCs w:val="22"/>
        </w:rPr>
        <w:t xml:space="preserve">safeguarding lead </w:t>
      </w:r>
      <w:r w:rsidRPr="00CB3950">
        <w:rPr>
          <w:rFonts w:cs="Arial"/>
          <w:szCs w:val="22"/>
        </w:rPr>
        <w:t xml:space="preserve">ensures that all </w:t>
      </w:r>
      <w:r w:rsidR="00824997">
        <w:rPr>
          <w:rFonts w:cs="Arial"/>
          <w:szCs w:val="22"/>
        </w:rPr>
        <w:t>educators</w:t>
      </w:r>
      <w:r w:rsidRPr="00CB3950">
        <w:rPr>
          <w:rFonts w:cs="Arial"/>
          <w:szCs w:val="22"/>
        </w:rPr>
        <w:t xml:space="preserve"> are alert to the indicators of abuse and neglect and understand how to identify and respond to these. </w:t>
      </w:r>
    </w:p>
    <w:p w14:paraId="2F77003E" w14:textId="4AB40DAF" w:rsidR="00B34AC0" w:rsidRPr="00CB395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00777705">
        <w:rPr>
          <w:rFonts w:cs="Arial"/>
          <w:bCs/>
          <w:szCs w:val="22"/>
        </w:rPr>
        <w:t>DSL deputy</w:t>
      </w:r>
      <w:r w:rsidRPr="00CB3950">
        <w:rPr>
          <w:rFonts w:cs="Arial"/>
          <w:bCs/>
          <w:szCs w:val="22"/>
        </w:rPr>
        <w:t xml:space="preserve"> informs the </w:t>
      </w:r>
      <w:r w:rsidR="00777705">
        <w:rPr>
          <w:rFonts w:cs="Arial"/>
          <w:bCs/>
          <w:szCs w:val="22"/>
        </w:rPr>
        <w:t>DSL</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2C70EC73" w14:textId="540F2FC3"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00777705">
        <w:rPr>
          <w:rFonts w:cs="Arial"/>
          <w:bCs/>
          <w:color w:val="000000"/>
          <w:szCs w:val="22"/>
        </w:rPr>
        <w:t>DSL</w:t>
      </w:r>
      <w:r w:rsidRPr="00CB3950">
        <w:rPr>
          <w:rFonts w:cs="Arial"/>
          <w:bCs/>
          <w:color w:val="000000"/>
          <w:szCs w:val="22"/>
        </w:rPr>
        <w:t xml:space="preserve">, action to safeguard the child is taken first and the </w:t>
      </w:r>
      <w:proofErr w:type="gramStart"/>
      <w:r w:rsidR="00777705">
        <w:rPr>
          <w:rFonts w:cs="Arial"/>
          <w:bCs/>
          <w:color w:val="000000"/>
          <w:szCs w:val="22"/>
        </w:rPr>
        <w:t>DLS</w:t>
      </w:r>
      <w:r w:rsidRPr="00CB3950">
        <w:rPr>
          <w:rFonts w:cs="Arial"/>
          <w:bCs/>
          <w:color w:val="000000"/>
          <w:szCs w:val="22"/>
        </w:rPr>
        <w:t xml:space="preserve"> </w:t>
      </w:r>
      <w:r w:rsidRPr="00CB3950">
        <w:rPr>
          <w:rFonts w:cs="Arial"/>
          <w:color w:val="000000"/>
          <w:szCs w:val="22"/>
        </w:rPr>
        <w:t xml:space="preserve"> is</w:t>
      </w:r>
      <w:proofErr w:type="gramEnd"/>
      <w:r w:rsidRPr="00CB3950">
        <w:rPr>
          <w:rFonts w:cs="Arial"/>
          <w:color w:val="000000"/>
          <w:szCs w:val="22"/>
        </w:rPr>
        <w:t xml:space="preserve"> informed later. </w:t>
      </w:r>
    </w:p>
    <w:p w14:paraId="032BBFF0" w14:textId="706DCD8A"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 xml:space="preserve">Ofsted are notified to the </w:t>
      </w:r>
      <w:r w:rsidR="00777705">
        <w:rPr>
          <w:rFonts w:cs="Arial"/>
          <w:bCs/>
          <w:color w:val="000000"/>
          <w:szCs w:val="22"/>
        </w:rPr>
        <w:t>DSL</w:t>
      </w:r>
      <w:r w:rsidRPr="00CB3950">
        <w:rPr>
          <w:rFonts w:cs="Arial"/>
          <w:bCs/>
          <w:color w:val="000000"/>
          <w:szCs w:val="22"/>
        </w:rPr>
        <w:t xml:space="preserve"> to </w:t>
      </w:r>
      <w:proofErr w:type="gramStart"/>
      <w:r w:rsidRPr="00CB3950">
        <w:rPr>
          <w:rFonts w:cs="Arial"/>
          <w:bCs/>
          <w:color w:val="000000"/>
          <w:szCs w:val="22"/>
        </w:rPr>
        <w:t>make a decision</w:t>
      </w:r>
      <w:proofErr w:type="gramEnd"/>
      <w:r w:rsidRPr="00CB3950">
        <w:rPr>
          <w:rFonts w:cs="Arial"/>
          <w:bCs/>
          <w:color w:val="000000"/>
          <w:szCs w:val="22"/>
        </w:rPr>
        <w:t xml:space="preserve"> regarding notification. </w:t>
      </w:r>
      <w:r w:rsidR="003F4EA1" w:rsidRPr="00CB3950">
        <w:rPr>
          <w:rFonts w:cs="Arial"/>
          <w:bCs/>
          <w:color w:val="000000"/>
          <w:szCs w:val="22"/>
        </w:rPr>
        <w:t xml:space="preserve">The </w:t>
      </w:r>
      <w:r w:rsidR="00777705">
        <w:rPr>
          <w:rFonts w:cs="Arial"/>
          <w:bCs/>
          <w:color w:val="000000"/>
          <w:szCs w:val="22"/>
        </w:rPr>
        <w:t>DSL</w:t>
      </w:r>
      <w:r w:rsidRPr="00CB3950">
        <w:rPr>
          <w:rFonts w:cs="Arial"/>
          <w:bCs/>
          <w:color w:val="000000"/>
          <w:szCs w:val="22"/>
        </w:rPr>
        <w:t xml:space="preserve"> must remain up to date with Ofsted reporting and notification requirements.</w:t>
      </w:r>
    </w:p>
    <w:p w14:paraId="406F0A97" w14:textId="02B663F3"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 xml:space="preserve">If there is an incident, which may require reporting to RIDDOR the </w:t>
      </w:r>
      <w:r w:rsidR="006D3556">
        <w:rPr>
          <w:rFonts w:cs="Arial"/>
          <w:bCs/>
          <w:color w:val="000000"/>
          <w:szCs w:val="22"/>
        </w:rPr>
        <w:t xml:space="preserve">DSL </w:t>
      </w:r>
      <w:r w:rsidRPr="00CB3950">
        <w:rPr>
          <w:rFonts w:cs="Arial"/>
          <w:bCs/>
          <w:color w:val="000000"/>
          <w:szCs w:val="22"/>
        </w:rPr>
        <w:t xml:space="preserve">immediately seeks guidance from </w:t>
      </w:r>
      <w:r w:rsidR="00D248C5" w:rsidRPr="00CB3950">
        <w:rPr>
          <w:rFonts w:cs="Arial"/>
          <w:bCs/>
          <w:color w:val="000000"/>
          <w:szCs w:val="22"/>
        </w:rPr>
        <w:t>the owners</w:t>
      </w:r>
      <w:r w:rsidRPr="00CB3950">
        <w:rPr>
          <w:rFonts w:cs="Arial"/>
          <w:bCs/>
          <w:color w:val="000000"/>
          <w:szCs w:val="22"/>
        </w:rPr>
        <w:t>. There continues to be a requirement that the designated officer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3175E86C"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t xml:space="preserve">All settings follow procedures of their </w:t>
      </w:r>
      <w:r w:rsidR="00227B0A">
        <w:rPr>
          <w:rFonts w:cs="Arial"/>
          <w:szCs w:val="22"/>
        </w:rPr>
        <w:t>Local Safeguarding Partners (</w:t>
      </w:r>
      <w:r w:rsidRPr="00CB3950">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sidRPr="00CB3950">
        <w:rPr>
          <w:rFonts w:cs="Arial"/>
          <w:szCs w:val="22"/>
        </w:rPr>
        <w:t>whistle-blowing</w:t>
      </w:r>
      <w:proofErr w:type="gramEnd"/>
      <w:r w:rsidRPr="00CB3950">
        <w:rPr>
          <w:rFonts w:cs="Arial"/>
          <w:szCs w:val="22"/>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3F55D901"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6D3556">
        <w:rPr>
          <w:rFonts w:cs="Arial"/>
          <w:szCs w:val="22"/>
        </w:rPr>
        <w:t>(Accident at home form)</w:t>
      </w:r>
      <w:r w:rsidR="00DF2089">
        <w:rPr>
          <w:rFonts w:cs="Arial"/>
          <w:szCs w:val="22"/>
        </w:rPr>
        <w:t>, which is signed by the</w:t>
      </w:r>
      <w:r w:rsidRPr="00CB3950">
        <w:rPr>
          <w:rFonts w:cs="Arial"/>
          <w:szCs w:val="22"/>
        </w:rPr>
        <w:t xml:space="preserve"> parent/carer</w:t>
      </w:r>
      <w:r w:rsidR="00DF2089">
        <w:rPr>
          <w:rFonts w:cs="Arial"/>
          <w:szCs w:val="22"/>
        </w:rPr>
        <w:t>.</w:t>
      </w:r>
    </w:p>
    <w:p w14:paraId="213BBBEC" w14:textId="5F23A988"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the designated person as soon as possible if there are safeguarding concerns about the circumstance of the injury</w:t>
      </w:r>
      <w:r w:rsidRPr="00CB3950">
        <w:rPr>
          <w:rFonts w:cs="Arial"/>
          <w:szCs w:val="22"/>
        </w:rPr>
        <w:t>.</w:t>
      </w:r>
    </w:p>
    <w:p w14:paraId="71B094F5" w14:textId="18039A3B"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person decides the course of action to be taken after reviewing </w:t>
      </w:r>
      <w:r w:rsidR="008461C2">
        <w:rPr>
          <w:rFonts w:cs="Arial"/>
          <w:szCs w:val="22"/>
        </w:rPr>
        <w:t>0</w:t>
      </w:r>
      <w:r w:rsidR="00EA7217" w:rsidRPr="00EA7217">
        <w:rPr>
          <w:rFonts w:cs="Arial"/>
          <w:szCs w:val="22"/>
        </w:rPr>
        <w:t>6.</w:t>
      </w:r>
      <w:r w:rsidR="006602B9">
        <w:rPr>
          <w:rFonts w:cs="Arial"/>
          <w:szCs w:val="22"/>
        </w:rPr>
        <w:t>1</w:t>
      </w:r>
      <w:r w:rsidR="006D3556">
        <w:rPr>
          <w:rFonts w:cs="Arial"/>
          <w:szCs w:val="22"/>
        </w:rPr>
        <w:t>a</w:t>
      </w:r>
      <w:r w:rsidR="00EA7217" w:rsidRPr="00EA7217">
        <w:rPr>
          <w:rFonts w:cs="Arial"/>
          <w:szCs w:val="22"/>
        </w:rPr>
        <w:t xml:space="preserve"> Safeguarding incident</w:t>
      </w:r>
      <w:r w:rsidR="00DD593C">
        <w:rPr>
          <w:rFonts w:cs="Arial"/>
          <w:szCs w:val="22"/>
        </w:rPr>
        <w:t>/concern</w:t>
      </w:r>
      <w:r w:rsidR="00EA7217" w:rsidRPr="00EA7217">
        <w:rPr>
          <w:rFonts w:cs="Arial"/>
          <w:szCs w:val="22"/>
        </w:rPr>
        <w:t xml:space="preserve"> form</w:t>
      </w:r>
      <w:r w:rsidR="00EA7217">
        <w:rPr>
          <w:rFonts w:cs="Arial"/>
          <w:szCs w:val="22"/>
        </w:rPr>
        <w:t>.</w:t>
      </w:r>
    </w:p>
    <w:p w14:paraId="567B6CF7" w14:textId="16C07E0E"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lastRenderedPageBreak/>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person</w:t>
      </w:r>
      <w:r w:rsidR="007D0EED" w:rsidRPr="00EA7217">
        <w:rPr>
          <w:rFonts w:cs="Arial"/>
          <w:szCs w:val="22"/>
        </w:rPr>
        <w:t>.</w:t>
      </w:r>
    </w:p>
    <w:p w14:paraId="58102B54" w14:textId="5F8C8ED0" w:rsidR="00797A89" w:rsidRPr="00DD593C" w:rsidRDefault="00797A89" w:rsidP="00DD593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sidR="00EA7217">
        <w:rPr>
          <w:rFonts w:cs="Arial"/>
          <w:szCs w:val="22"/>
        </w:rPr>
        <w:t>and</w:t>
      </w:r>
      <w:r w:rsidR="008F07BC">
        <w:rPr>
          <w:rFonts w:cs="Arial"/>
          <w:szCs w:val="22"/>
        </w:rPr>
        <w:t xml:space="preserve"> </w:t>
      </w:r>
      <w:r w:rsidR="00DD593C">
        <w:rPr>
          <w:rFonts w:cs="Arial"/>
          <w:szCs w:val="22"/>
        </w:rPr>
        <w:t>0</w:t>
      </w:r>
      <w:r w:rsidR="00DD593C" w:rsidRPr="00EA7217">
        <w:rPr>
          <w:rFonts w:cs="Arial"/>
          <w:szCs w:val="22"/>
        </w:rPr>
        <w:t>6.</w:t>
      </w:r>
      <w:r w:rsidR="00DD593C">
        <w:rPr>
          <w:rFonts w:cs="Arial"/>
          <w:szCs w:val="22"/>
        </w:rPr>
        <w:t>1a</w:t>
      </w:r>
      <w:r w:rsidR="00DD593C" w:rsidRPr="00EA7217">
        <w:rPr>
          <w:rFonts w:cs="Arial"/>
          <w:szCs w:val="22"/>
        </w:rPr>
        <w:t xml:space="preserve"> Safeguarding incident</w:t>
      </w:r>
      <w:r w:rsidR="00DD593C">
        <w:rPr>
          <w:rFonts w:cs="Arial"/>
          <w:szCs w:val="22"/>
        </w:rPr>
        <w:t>/concern</w:t>
      </w:r>
      <w:r w:rsidR="00DD593C" w:rsidRPr="00EA7217">
        <w:rPr>
          <w:rFonts w:cs="Arial"/>
          <w:szCs w:val="22"/>
        </w:rPr>
        <w:t xml:space="preserve"> form</w:t>
      </w:r>
      <w:r w:rsidR="00EA7217" w:rsidRPr="00DD593C">
        <w:rPr>
          <w:rFonts w:cs="Arial"/>
          <w:szCs w:val="22"/>
        </w:rPr>
        <w:t xml:space="preserve"> </w:t>
      </w:r>
      <w:r w:rsidRPr="00DD593C">
        <w:rPr>
          <w:rFonts w:cs="Arial"/>
          <w:szCs w:val="22"/>
        </w:rPr>
        <w:t>is completed as above, taking into consideration any explanation given by the child</w:t>
      </w:r>
      <w:r w:rsidR="007D0EED" w:rsidRPr="00DD593C">
        <w:rPr>
          <w:rFonts w:cs="Arial"/>
          <w:szCs w:val="22"/>
        </w:rPr>
        <w:t>.</w:t>
      </w:r>
    </w:p>
    <w:p w14:paraId="7F5B090F" w14:textId="73A1777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person</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3746F4A4"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person</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2CE915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7777777"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about the welfare of a child are discussed with the designated person without delay.</w:t>
      </w:r>
    </w:p>
    <w:p w14:paraId="5AD6AF27" w14:textId="6F053F0D" w:rsidR="00B34AC0" w:rsidRPr="00DD593C" w:rsidRDefault="00B34AC0" w:rsidP="00DD593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DD593C">
        <w:rPr>
          <w:rFonts w:cs="Arial"/>
          <w:szCs w:val="22"/>
        </w:rPr>
        <w:t>0</w:t>
      </w:r>
      <w:r w:rsidR="00DD593C" w:rsidRPr="00EA7217">
        <w:rPr>
          <w:rFonts w:cs="Arial"/>
          <w:szCs w:val="22"/>
        </w:rPr>
        <w:t>6.</w:t>
      </w:r>
      <w:r w:rsidR="00DD593C">
        <w:rPr>
          <w:rFonts w:cs="Arial"/>
          <w:szCs w:val="22"/>
        </w:rPr>
        <w:t>1a</w:t>
      </w:r>
      <w:r w:rsidR="00DD593C" w:rsidRPr="00EA7217">
        <w:rPr>
          <w:rFonts w:cs="Arial"/>
          <w:szCs w:val="22"/>
        </w:rPr>
        <w:t xml:space="preserve"> Safeguarding incident</w:t>
      </w:r>
      <w:r w:rsidR="00DD593C">
        <w:rPr>
          <w:rFonts w:cs="Arial"/>
          <w:szCs w:val="22"/>
        </w:rPr>
        <w:t>/concern</w:t>
      </w:r>
      <w:r w:rsidR="00DD593C" w:rsidRPr="00EA7217">
        <w:rPr>
          <w:rFonts w:cs="Arial"/>
          <w:szCs w:val="22"/>
        </w:rPr>
        <w:t xml:space="preserve"> form</w:t>
      </w:r>
      <w:r w:rsidR="00DD593C">
        <w:rPr>
          <w:rFonts w:cs="Arial"/>
          <w:szCs w:val="22"/>
        </w:rPr>
        <w:t xml:space="preserve"> </w:t>
      </w:r>
      <w:r w:rsidRPr="00DD593C">
        <w:rPr>
          <w:rFonts w:cs="Arial"/>
          <w:szCs w:val="22"/>
        </w:rPr>
        <w:t>as soon as possible</w:t>
      </w:r>
      <w:r w:rsidR="008F07BC" w:rsidRPr="00DD593C">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0F2DEA22"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824997">
        <w:rPr>
          <w:rFonts w:cs="Arial"/>
          <w:szCs w:val="22"/>
        </w:rPr>
        <w:t>educato</w:t>
      </w:r>
      <w:r w:rsidR="007475D1" w:rsidRPr="00CB3950">
        <w:rPr>
          <w:rFonts w:cs="Arial"/>
          <w:szCs w:val="22"/>
        </w:rPr>
        <w:t>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725ED7A1"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After the initial disclosure, staff speak immediately to the designated person.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783F6212"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DD593C">
        <w:rPr>
          <w:rFonts w:cs="Arial"/>
          <w:szCs w:val="22"/>
        </w:rPr>
        <w:t>0</w:t>
      </w:r>
      <w:r w:rsidR="00DD593C" w:rsidRPr="00EA7217">
        <w:rPr>
          <w:rFonts w:cs="Arial"/>
          <w:szCs w:val="22"/>
        </w:rPr>
        <w:t>6.</w:t>
      </w:r>
      <w:r w:rsidR="00DD593C">
        <w:rPr>
          <w:rFonts w:cs="Arial"/>
          <w:szCs w:val="22"/>
        </w:rPr>
        <w:t>1a</w:t>
      </w:r>
      <w:r w:rsidR="00DD593C" w:rsidRPr="00EA7217">
        <w:rPr>
          <w:rFonts w:cs="Arial"/>
          <w:szCs w:val="22"/>
        </w:rPr>
        <w:t xml:space="preserve"> Safeguarding incident</w:t>
      </w:r>
      <w:r w:rsidR="00DD593C">
        <w:rPr>
          <w:rFonts w:cs="Arial"/>
          <w:szCs w:val="22"/>
        </w:rPr>
        <w:t>/concern form</w:t>
      </w:r>
      <w:r w:rsidR="008F07BC" w:rsidRPr="006602B9">
        <w:rPr>
          <w:rFonts w:cs="Arial"/>
          <w:bCs/>
          <w:szCs w:val="22"/>
        </w:rPr>
        <w:t>,</w:t>
      </w:r>
      <w:r w:rsidRPr="006602B9">
        <w:rPr>
          <w:rFonts w:cs="Arial"/>
          <w:bCs/>
          <w:szCs w:val="22"/>
        </w:rPr>
        <w:t xml:space="preserve"> their exact words are used as well as the exact words with which the member of staff responded.</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4D32D91C"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The designated person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lastRenderedPageBreak/>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1536EC4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person, also completing </w:t>
      </w:r>
      <w:r w:rsidR="00DD593C">
        <w:rPr>
          <w:rFonts w:cs="Arial"/>
          <w:szCs w:val="22"/>
        </w:rPr>
        <w:t>0</w:t>
      </w:r>
      <w:r w:rsidR="00DD593C" w:rsidRPr="00EA7217">
        <w:rPr>
          <w:rFonts w:cs="Arial"/>
          <w:szCs w:val="22"/>
        </w:rPr>
        <w:t>6.</w:t>
      </w:r>
      <w:r w:rsidR="00DD593C">
        <w:rPr>
          <w:rFonts w:cs="Arial"/>
          <w:szCs w:val="22"/>
        </w:rPr>
        <w:t>1a</w:t>
      </w:r>
      <w:r w:rsidR="00DD593C" w:rsidRPr="00EA7217">
        <w:rPr>
          <w:rFonts w:cs="Arial"/>
          <w:szCs w:val="22"/>
        </w:rPr>
        <w:t xml:space="preserve"> Safeguarding incident</w:t>
      </w:r>
      <w:r w:rsidR="00DD593C">
        <w:rPr>
          <w:rFonts w:cs="Arial"/>
          <w:szCs w:val="22"/>
        </w:rPr>
        <w:t>/concern</w:t>
      </w:r>
      <w:r w:rsidR="00DD593C" w:rsidRPr="008F07BC">
        <w:rPr>
          <w:rFonts w:cs="Arial"/>
          <w:bCs/>
          <w:szCs w:val="22"/>
        </w:rPr>
        <w:t xml:space="preserve"> </w:t>
      </w:r>
      <w:r w:rsidR="008F07BC" w:rsidRPr="008F07BC">
        <w:rPr>
          <w:rFonts w:cs="Arial"/>
          <w:bCs/>
          <w:szCs w:val="22"/>
        </w:rPr>
        <w:t xml:space="preserve">form </w:t>
      </w:r>
      <w:r w:rsidRPr="00CB3950">
        <w:rPr>
          <w:rFonts w:cs="Arial"/>
          <w:bCs/>
          <w:szCs w:val="22"/>
        </w:rPr>
        <w:t>if they have not already done so.</w:t>
      </w:r>
    </w:p>
    <w:p w14:paraId="5E4DBEE2" w14:textId="03DB2241"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 xml:space="preserve">Seeking consent from parents/carers to share information before making a referral for early help </w:t>
      </w:r>
    </w:p>
    <w:p w14:paraId="67A0DCF5" w14:textId="3BAE1FAE"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08DA9E74"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he designated person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25B862DE" w:rsidR="00B34AC0" w:rsidRPr="009B6CF0" w:rsidRDefault="00B34AC0" w:rsidP="009B6CF0">
      <w:pPr>
        <w:pStyle w:val="ListParagraph"/>
        <w:numPr>
          <w:ilvl w:val="0"/>
          <w:numId w:val="48"/>
        </w:numPr>
        <w:spacing w:before="120" w:after="120" w:line="360" w:lineRule="auto"/>
        <w:contextualSpacing w:val="0"/>
        <w:rPr>
          <w:rFonts w:cs="Arial"/>
          <w:szCs w:val="22"/>
        </w:rPr>
      </w:pPr>
      <w:r w:rsidRPr="00CB3950">
        <w:rPr>
          <w:rFonts w:cs="Arial"/>
          <w:szCs w:val="22"/>
        </w:rPr>
        <w:t xml:space="preserve">contacting the parent puts another person at risk; situations where one parent may be at risk of harm, e.g. </w:t>
      </w:r>
      <w:r w:rsidRPr="009B6CF0">
        <w:rPr>
          <w:rFonts w:cs="Arial"/>
          <w:szCs w:val="22"/>
        </w:rPr>
        <w:t>abuse; situations where it has not been possible to contact parents to seek their consent may cause delay to the referral being made</w:t>
      </w:r>
    </w:p>
    <w:p w14:paraId="62B504E1" w14:textId="77FACC62" w:rsidR="00B34AC0" w:rsidRPr="00CB3950" w:rsidRDefault="00B34AC0" w:rsidP="00CB3950">
      <w:pPr>
        <w:spacing w:before="120" w:after="120" w:line="360" w:lineRule="auto"/>
        <w:rPr>
          <w:rFonts w:cs="Arial"/>
          <w:szCs w:val="22"/>
        </w:rPr>
      </w:pPr>
      <w:r w:rsidRPr="00CB3950">
        <w:rPr>
          <w:rFonts w:cs="Arial"/>
          <w:szCs w:val="22"/>
        </w:rPr>
        <w:lastRenderedPageBreak/>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16E5FDD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68343D">
        <w:rPr>
          <w:rFonts w:cs="Arial"/>
          <w:szCs w:val="22"/>
        </w:rPr>
        <w:t>DSL</w:t>
      </w:r>
      <w:r w:rsidRPr="00CB3950">
        <w:rPr>
          <w:rFonts w:cs="Arial"/>
          <w:szCs w:val="22"/>
        </w:rPr>
        <w:t xml:space="preserve"> or </w:t>
      </w:r>
      <w:r w:rsidR="0068343D">
        <w:rPr>
          <w:rFonts w:cs="Arial"/>
          <w:szCs w:val="22"/>
        </w:rPr>
        <w:t xml:space="preserve">deputy DSL </w:t>
      </w:r>
      <w:r w:rsidRPr="00CB3950">
        <w:rPr>
          <w:rFonts w:cs="Arial"/>
          <w:szCs w:val="22"/>
        </w:rPr>
        <w:t xml:space="preserve">follows their LSP procedures for making a referral. </w:t>
      </w:r>
    </w:p>
    <w:p w14:paraId="79D48957" w14:textId="262B9E48"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w:t>
      </w:r>
      <w:r w:rsidR="0068343D">
        <w:rPr>
          <w:rFonts w:cs="Arial"/>
          <w:szCs w:val="22"/>
        </w:rPr>
        <w:t>DSL</w:t>
      </w:r>
      <w:r w:rsidRPr="00CB3950">
        <w:rPr>
          <w:rFonts w:cs="Arial"/>
          <w:szCs w:val="22"/>
        </w:rPr>
        <w:t xml:space="preserve"> or </w:t>
      </w:r>
      <w:r w:rsidR="0068343D">
        <w:rPr>
          <w:rFonts w:cs="Arial"/>
          <w:szCs w:val="22"/>
        </w:rPr>
        <w:t>DSL deputy</w:t>
      </w:r>
      <w:r w:rsidRPr="00CB3950">
        <w:rPr>
          <w:rFonts w:cs="Arial"/>
          <w:szCs w:val="22"/>
        </w:rPr>
        <w:t xml:space="preserve">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498A1107" w:rsidR="00B34AC0" w:rsidRPr="00CB3950" w:rsidRDefault="00B34AC0" w:rsidP="00CB3950">
      <w:pPr>
        <w:numPr>
          <w:ilvl w:val="0"/>
          <w:numId w:val="50"/>
        </w:numPr>
        <w:spacing w:before="120" w:after="120" w:line="360" w:lineRule="auto"/>
        <w:rPr>
          <w:rFonts w:cs="Arial"/>
          <w:szCs w:val="22"/>
        </w:rPr>
      </w:pPr>
      <w:r w:rsidRPr="00CB3950">
        <w:rPr>
          <w:rFonts w:cs="Arial"/>
          <w:szCs w:val="22"/>
        </w:rPr>
        <w:t xml:space="preserve">If the child is ‘safe’ because they are still in the setting, and there is time to do so, the senior member of staff contacts the setting’s </w:t>
      </w:r>
      <w:r w:rsidR="0068343D">
        <w:rPr>
          <w:rFonts w:cs="Arial"/>
          <w:szCs w:val="22"/>
        </w:rPr>
        <w:t>DSL</w:t>
      </w:r>
      <w:r w:rsidRPr="00CB3950">
        <w:rPr>
          <w:rFonts w:cs="Arial"/>
          <w:szCs w:val="22"/>
        </w:rPr>
        <w:t xml:space="preserve"> for support.</w:t>
      </w:r>
    </w:p>
    <w:p w14:paraId="23EE0174" w14:textId="5F46BC20"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w:t>
      </w:r>
      <w:r w:rsidR="0068343D">
        <w:rPr>
          <w:rFonts w:cs="Arial"/>
          <w:szCs w:val="22"/>
        </w:rPr>
        <w:t>DSL</w:t>
      </w:r>
      <w:r w:rsidR="00B34AC0" w:rsidRPr="00CB3950">
        <w:rPr>
          <w:rFonts w:cs="Arial"/>
          <w:szCs w:val="22"/>
        </w:rPr>
        <w:t xml:space="preserve"> and </w:t>
      </w:r>
      <w:r w:rsidR="0068343D">
        <w:rPr>
          <w:rFonts w:cs="Arial"/>
          <w:szCs w:val="22"/>
        </w:rPr>
        <w:t>deputy DSL</w:t>
      </w:r>
      <w:r w:rsidR="00B34AC0" w:rsidRPr="00CB3950">
        <w:rPr>
          <w:rFonts w:cs="Arial"/>
          <w:szCs w:val="22"/>
        </w:rPr>
        <w:t xml:space="preserve"> person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2DF7B9BA" w:rsidR="00B34AC0" w:rsidRPr="008461C2" w:rsidRDefault="00B34AC0" w:rsidP="008461C2">
      <w:pPr>
        <w:numPr>
          <w:ilvl w:val="0"/>
          <w:numId w:val="6"/>
        </w:numPr>
        <w:spacing w:before="120" w:after="120" w:line="360" w:lineRule="auto"/>
        <w:rPr>
          <w:rFonts w:cs="Arial"/>
          <w:szCs w:val="22"/>
        </w:rPr>
      </w:pPr>
      <w:r w:rsidRPr="008461C2">
        <w:rPr>
          <w:rFonts w:cs="Arial"/>
          <w:szCs w:val="22"/>
        </w:rPr>
        <w:t>Discussion with parents and any further discussion with social care is recorded</w:t>
      </w:r>
      <w:r w:rsidRPr="008461C2">
        <w:rPr>
          <w:rFonts w:cs="Arial"/>
          <w:b/>
          <w:szCs w:val="22"/>
        </w:rPr>
        <w:t>.</w:t>
      </w:r>
      <w:r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Pr="008461C2">
        <w:rPr>
          <w:rFonts w:cs="Arial"/>
          <w:szCs w:val="22"/>
        </w:rPr>
        <w:t>.</w:t>
      </w:r>
      <w:r w:rsidRPr="008461C2">
        <w:rPr>
          <w:rFonts w:cs="Arial"/>
          <w:color w:val="F7CAAC"/>
          <w:szCs w:val="22"/>
        </w:rPr>
        <w:t xml:space="preserve"> </w:t>
      </w:r>
    </w:p>
    <w:p w14:paraId="768F28CE" w14:textId="19D31877"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5E361D">
        <w:rPr>
          <w:rFonts w:cs="Arial"/>
          <w:szCs w:val="22"/>
        </w:rPr>
        <w:t>.</w:t>
      </w:r>
    </w:p>
    <w:p w14:paraId="6D1D61B7" w14:textId="072C42FA"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68343D">
        <w:rPr>
          <w:rFonts w:cs="Arial"/>
          <w:szCs w:val="22"/>
        </w:rPr>
        <w:t>a</w:t>
      </w:r>
      <w:r w:rsidR="003A4300" w:rsidRPr="003A4300">
        <w:rPr>
          <w:rFonts w:cs="Arial"/>
          <w:szCs w:val="22"/>
        </w:rPr>
        <w:t xml:space="preserve"> </w:t>
      </w:r>
      <w:proofErr w:type="spellStart"/>
      <w:r w:rsidR="005E361D">
        <w:rPr>
          <w:rFonts w:cs="Arial"/>
          <w:szCs w:val="22"/>
        </w:rPr>
        <w:t>0</w:t>
      </w:r>
      <w:r w:rsidR="005E361D" w:rsidRPr="00EA7217">
        <w:rPr>
          <w:rFonts w:cs="Arial"/>
          <w:szCs w:val="22"/>
        </w:rPr>
        <w:t>6.</w:t>
      </w:r>
      <w:r w:rsidR="005E361D">
        <w:rPr>
          <w:rFonts w:cs="Arial"/>
          <w:szCs w:val="22"/>
        </w:rPr>
        <w:t>1a</w:t>
      </w:r>
      <w:proofErr w:type="spellEnd"/>
      <w:r w:rsidR="005E361D" w:rsidRPr="00EA7217">
        <w:rPr>
          <w:rFonts w:cs="Arial"/>
          <w:szCs w:val="22"/>
        </w:rPr>
        <w:t xml:space="preserve"> Safeguarding incident</w:t>
      </w:r>
      <w:r w:rsidR="005E361D">
        <w:rPr>
          <w:rFonts w:cs="Arial"/>
          <w:szCs w:val="22"/>
        </w:rPr>
        <w:t>/concern</w:t>
      </w:r>
      <w:r w:rsidR="005E361D" w:rsidRPr="003A4300">
        <w:rPr>
          <w:rFonts w:cs="Arial"/>
          <w:szCs w:val="22"/>
        </w:rPr>
        <w:t xml:space="preserve"> </w:t>
      </w:r>
      <w:r w:rsidR="003A4300" w:rsidRPr="003A4300">
        <w:rPr>
          <w:rFonts w:cs="Arial"/>
          <w:szCs w:val="22"/>
        </w:rPr>
        <w:t>form</w:t>
      </w:r>
      <w:r w:rsidR="003A4300">
        <w:rPr>
          <w:rFonts w:cs="Arial"/>
          <w:szCs w:val="22"/>
        </w:rPr>
        <w:t>,</w:t>
      </w:r>
      <w:r w:rsidR="003A4300" w:rsidRPr="003A4300">
        <w:rPr>
          <w:rFonts w:cs="Arial"/>
          <w:szCs w:val="22"/>
        </w:rPr>
        <w:t xml:space="preserve"> </w:t>
      </w:r>
      <w:r w:rsidRPr="00CB3950">
        <w:rPr>
          <w:rFonts w:cs="Arial"/>
          <w:szCs w:val="22"/>
        </w:rPr>
        <w:t>as above.</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139227B8"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If a</w:t>
      </w:r>
      <w:r w:rsidR="00824997">
        <w:rPr>
          <w:rFonts w:cs="Arial"/>
          <w:szCs w:val="22"/>
        </w:rPr>
        <w:t xml:space="preserve">n educator </w:t>
      </w:r>
      <w:r w:rsidRPr="00CB3950">
        <w:rPr>
          <w:rFonts w:cs="Arial"/>
          <w:szCs w:val="22"/>
        </w:rPr>
        <w:t>disagrees with a decision made by the designated person not to make a referral to social care they must initially discuss and try to resolve it with them.</w:t>
      </w:r>
    </w:p>
    <w:p w14:paraId="003C8DEC" w14:textId="57AD0427"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 xml:space="preserve">the disagreement cannot be resolved with the designated person and the </w:t>
      </w:r>
      <w:r w:rsidR="00824997">
        <w:rPr>
          <w:rFonts w:cs="Arial"/>
          <w:szCs w:val="22"/>
        </w:rPr>
        <w:t>educato</w:t>
      </w:r>
      <w:r w:rsidRPr="00CB3950">
        <w:rPr>
          <w:rFonts w:cs="Arial"/>
          <w:szCs w:val="22"/>
        </w:rPr>
        <w:t xml:space="preserve">r continues to feel a safeguarding referral is </w:t>
      </w:r>
      <w:proofErr w:type="gramStart"/>
      <w:r w:rsidRPr="00CB3950">
        <w:rPr>
          <w:rFonts w:cs="Arial"/>
          <w:szCs w:val="22"/>
        </w:rPr>
        <w:t>required</w:t>
      </w:r>
      <w:proofErr w:type="gramEnd"/>
      <w:r w:rsidRPr="00CB3950">
        <w:rPr>
          <w:rFonts w:cs="Arial"/>
          <w:szCs w:val="22"/>
        </w:rPr>
        <w:t xml:space="preserve"> then they discuss this with the </w:t>
      </w:r>
      <w:r w:rsidR="005D4778">
        <w:rPr>
          <w:rFonts w:cs="Arial"/>
          <w:szCs w:val="22"/>
        </w:rPr>
        <w:t>local authority (helpline)</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lastRenderedPageBreak/>
        <w:t xml:space="preserve">Supervision sessions are also used to discuss </w:t>
      </w:r>
      <w:proofErr w:type="gramStart"/>
      <w:r w:rsidR="00FD2A53" w:rsidRPr="00CB3950">
        <w:rPr>
          <w:rFonts w:cs="Arial"/>
          <w:szCs w:val="22"/>
        </w:rPr>
        <w:t>concerns</w:t>
      </w:r>
      <w:proofErr w:type="gramEnd"/>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proofErr w:type="gramStart"/>
      <w:r w:rsidRPr="00CB3950">
        <w:rPr>
          <w:rFonts w:cs="Arial"/>
          <w:szCs w:val="22"/>
        </w:rPr>
        <w:t>damaged;</w:t>
      </w:r>
      <w:proofErr w:type="gramEnd"/>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5AF56DD4"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3115F7" w:rsidRPr="00CB3950">
        <w:rPr>
          <w:rFonts w:cs="Arial"/>
          <w:szCs w:val="22"/>
        </w:rPr>
        <w:t>Designated Person</w:t>
      </w:r>
      <w:r w:rsidR="00777F6B" w:rsidRPr="00CB3950">
        <w:rPr>
          <w:rFonts w:cs="Arial"/>
          <w:szCs w:val="22"/>
        </w:rPr>
        <w:t>.</w:t>
      </w:r>
      <w:r w:rsidRPr="00CB3950">
        <w:rPr>
          <w:rFonts w:cs="Arial"/>
          <w:szCs w:val="22"/>
        </w:rPr>
        <w:t xml:space="preserve"> </w:t>
      </w:r>
    </w:p>
    <w:p w14:paraId="2CF08243" w14:textId="678EE35F"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777F6B" w:rsidRPr="00CB3950">
        <w:rPr>
          <w:rFonts w:cs="Arial"/>
          <w:szCs w:val="22"/>
        </w:rPr>
        <w:t>m</w:t>
      </w:r>
      <w:r w:rsidRPr="00CB3950">
        <w:rPr>
          <w:rFonts w:cs="Arial"/>
          <w:szCs w:val="22"/>
        </w:rPr>
        <w:t>anager/Designated Person</w:t>
      </w:r>
      <w:r w:rsidR="00156FE3" w:rsidRPr="00CB3950">
        <w:rPr>
          <w:rFonts w:cs="Arial"/>
          <w:szCs w:val="22"/>
        </w:rPr>
        <w:t xml:space="preserve"> should raise the issue with </w:t>
      </w:r>
      <w:r w:rsidR="005D4778">
        <w:rPr>
          <w:rFonts w:cs="Arial"/>
          <w:szCs w:val="22"/>
        </w:rPr>
        <w:t>the owner</w:t>
      </w:r>
      <w:r w:rsidR="00156FE3" w:rsidRPr="00CB3950">
        <w:rPr>
          <w:rFonts w:cs="Arial"/>
          <w:szCs w:val="22"/>
        </w:rPr>
        <w:t xml:space="preserve">. </w:t>
      </w:r>
    </w:p>
    <w:p w14:paraId="6006B460" w14:textId="7014BDE7"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 xml:space="preserve">should raise the matter with </w:t>
      </w:r>
      <w:r w:rsidR="00A92D7B">
        <w:rPr>
          <w:rFonts w:cs="Arial"/>
          <w:szCs w:val="22"/>
        </w:rPr>
        <w:t>Local Authority</w:t>
      </w:r>
      <w:r w:rsidR="000D66A3" w:rsidRPr="00CB3950">
        <w:rPr>
          <w:rFonts w:cs="Arial"/>
          <w:szCs w:val="22"/>
        </w:rPr>
        <w:t>.</w:t>
      </w:r>
    </w:p>
    <w:p w14:paraId="39E6A5DE" w14:textId="4F20F728" w:rsidR="00B34AC0" w:rsidRPr="00CB3950" w:rsidRDefault="00B34AC0" w:rsidP="00CB3950">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 xml:space="preserve">if an issue cannot be resolved and the member of staff believes a child remains at risk because the </w:t>
      </w:r>
      <w:r w:rsidR="000D66A3" w:rsidRPr="00CB3950">
        <w:rPr>
          <w:rFonts w:cs="Arial"/>
          <w:szCs w:val="22"/>
        </w:rPr>
        <w:t xml:space="preserve">setting </w:t>
      </w:r>
      <w:r w:rsidRPr="00CB3950">
        <w:rPr>
          <w:rFonts w:cs="Arial"/>
          <w:szCs w:val="22"/>
        </w:rPr>
        <w:t>or the local authority have not responded appropriately, the NSPCC have introduced a whistle-blowing helpline 0800 028</w:t>
      </w:r>
      <w:r w:rsidR="000D66A3" w:rsidRPr="00CB3950">
        <w:rPr>
          <w:rFonts w:cs="Arial"/>
          <w:szCs w:val="22"/>
        </w:rPr>
        <w:t xml:space="preserve"> </w:t>
      </w:r>
      <w:r w:rsidRPr="00CB3950">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1C9F3C7C" w:rsidR="00AA1CDF" w:rsidRPr="00AA1CDF" w:rsidRDefault="00824997" w:rsidP="00AA1CDF">
      <w:pPr>
        <w:spacing w:before="120" w:after="120" w:line="360" w:lineRule="auto"/>
        <w:rPr>
          <w:rStyle w:val="Hyperlink"/>
          <w:rFonts w:cs="Arial"/>
          <w:color w:val="auto"/>
          <w:szCs w:val="22"/>
          <w:u w:val="none"/>
          <w:lang w:val="en-US"/>
        </w:rPr>
      </w:pPr>
      <w:r>
        <w:rPr>
          <w:rStyle w:val="Hyperlink"/>
          <w:rFonts w:cs="Arial"/>
          <w:color w:val="auto"/>
          <w:szCs w:val="22"/>
          <w:u w:val="none"/>
          <w:lang w:val="en-US"/>
        </w:rPr>
        <w:t>Educators</w:t>
      </w:r>
      <w:r w:rsidR="00AA1CDF" w:rsidRPr="00AA1CDF">
        <w:rPr>
          <w:rStyle w:val="Hyperlink"/>
          <w:rFonts w:cs="Arial"/>
          <w:color w:val="auto"/>
          <w:szCs w:val="22"/>
          <w:u w:val="none"/>
          <w:lang w:val="en-US"/>
        </w:rPr>
        <w:t xml:space="preserve">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2DBADDC5" w14:textId="77777777"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w:t>
      </w:r>
      <w:r w:rsidRPr="00AA1CDF">
        <w:rPr>
          <w:rFonts w:eastAsia="Cambria" w:cs="Arial"/>
          <w:szCs w:val="22"/>
        </w:rPr>
        <w:lastRenderedPageBreak/>
        <w:t>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69FE7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person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616C3D">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1E49635E" w:rsidR="00DC0CA7" w:rsidRPr="001B6680" w:rsidRDefault="00DC0CA7" w:rsidP="00616C3D">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d</w:t>
      </w:r>
      <w:r w:rsidR="0011462D" w:rsidRPr="001B6680">
        <w:rPr>
          <w:rFonts w:cs="Arial"/>
          <w:szCs w:val="22"/>
        </w:rPr>
        <w:t>esignated person should follow LSP guidance in relation to how to respond to concerns regarding extremism and ensure that staff know how to identify and raise any concerns in relation to this with them.</w:t>
      </w:r>
    </w:p>
    <w:p w14:paraId="3120437A" w14:textId="5550D79A"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must know how to refer concerns about risks of extremism/radicalisation to their LSP safeguarding team or the Channel panel, as appropriate</w:t>
      </w:r>
      <w:r w:rsidR="00CB3950" w:rsidRPr="00CB3950">
        <w:rPr>
          <w:rFonts w:cs="Arial"/>
          <w:szCs w:val="22"/>
        </w:rPr>
        <w:t>.</w:t>
      </w:r>
    </w:p>
    <w:p w14:paraId="3366A61D" w14:textId="77777777"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lastRenderedPageBreak/>
        <w:t>The d</w:t>
      </w:r>
      <w:r w:rsidR="0011462D" w:rsidRPr="00CB3950">
        <w:rPr>
          <w:rFonts w:cs="Arial"/>
          <w:szCs w:val="22"/>
        </w:rPr>
        <w:t>esignated person should also ensure that they and all other staff working with children and young people understand how to recognise that someone may be at risk of violent extremism</w:t>
      </w:r>
      <w:r w:rsidR="00220063">
        <w:rPr>
          <w:rFonts w:cs="Arial"/>
          <w:szCs w:val="22"/>
        </w:rPr>
        <w:t>.</w:t>
      </w:r>
    </w:p>
    <w:p w14:paraId="06BBA361" w14:textId="19273E93"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complete </w:t>
      </w:r>
      <w:r w:rsidR="00FE7FFE" w:rsidRPr="00FE7FFE">
        <w:rPr>
          <w:rFonts w:cs="Arial"/>
          <w:i/>
          <w:iCs/>
          <w:szCs w:val="22"/>
        </w:rPr>
        <w:t xml:space="preserve">The Prevent Duty </w:t>
      </w:r>
      <w:r w:rsidR="00E661E7" w:rsidRPr="00E661E7">
        <w:rPr>
          <w:rFonts w:cs="Arial"/>
          <w:iCs/>
          <w:szCs w:val="22"/>
        </w:rPr>
        <w:t>courses</w:t>
      </w:r>
      <w:r w:rsidR="0011462D" w:rsidRPr="00CB3950">
        <w:rPr>
          <w:rFonts w:cs="Arial"/>
          <w:i/>
          <w:szCs w:val="22"/>
        </w:rPr>
        <w:t>.</w:t>
      </w:r>
    </w:p>
    <w:p w14:paraId="1418361F" w14:textId="0A1F00AB" w:rsidR="0011462D" w:rsidRPr="00CB3950" w:rsidRDefault="0011462D"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If available in the area</w:t>
      </w:r>
      <w:r w:rsidR="00EB31CC">
        <w:rPr>
          <w:rFonts w:cs="Arial"/>
          <w:szCs w:val="22"/>
        </w:rPr>
        <w:t>,</w:t>
      </w:r>
      <w:r w:rsidR="00D529E4" w:rsidRPr="00CB3950">
        <w:rPr>
          <w:rFonts w:cs="Arial"/>
          <w:szCs w:val="22"/>
        </w:rPr>
        <w:t xml:space="preserve"> the</w:t>
      </w:r>
      <w:r w:rsidRPr="00CB3950">
        <w:rPr>
          <w:rFonts w:cs="Arial"/>
          <w:szCs w:val="22"/>
        </w:rPr>
        <w:t xml:space="preserv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77777777"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3416BC0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proofErr w:type="gramStart"/>
      <w:r w:rsidRPr="00CB3950">
        <w:rPr>
          <w:rFonts w:cs="Arial"/>
          <w:szCs w:val="22"/>
        </w:rPr>
        <w:t>whether or not</w:t>
      </w:r>
      <w:proofErr w:type="gramEnd"/>
      <w:r w:rsidRPr="00CB3950">
        <w:rPr>
          <w:rFonts w:cs="Arial"/>
          <w:szCs w:val="22"/>
        </w:rPr>
        <w:t xml:space="preserve">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49A731A8" w:rsidR="0011462D" w:rsidRPr="00CB3950" w:rsidRDefault="00824997" w:rsidP="00FE47CB">
      <w:pPr>
        <w:tabs>
          <w:tab w:val="left" w:pos="996"/>
        </w:tabs>
        <w:spacing w:before="120" w:after="120" w:line="360" w:lineRule="auto"/>
        <w:rPr>
          <w:rFonts w:cs="Arial"/>
          <w:szCs w:val="22"/>
        </w:rPr>
      </w:pPr>
      <w:r>
        <w:rPr>
          <w:rFonts w:cs="Arial"/>
          <w:szCs w:val="22"/>
        </w:rPr>
        <w:t>Educator</w:t>
      </w:r>
      <w:r w:rsidR="0011462D" w:rsidRPr="00CB3950">
        <w:rPr>
          <w:rFonts w:cs="Arial"/>
          <w:szCs w:val="22"/>
        </w:rPr>
        <w:t>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w:t>
      </w:r>
      <w:r w:rsidRPr="00CB3950">
        <w:rPr>
          <w:rFonts w:cs="Arial"/>
          <w:szCs w:val="22"/>
        </w:rPr>
        <w:lastRenderedPageBreak/>
        <w:t xml:space="preserve">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373D36D9" w:rsidR="00FF50F6" w:rsidRDefault="00000000" w:rsidP="00CE734B">
      <w:pPr>
        <w:widowControl w:val="0"/>
        <w:tabs>
          <w:tab w:val="left" w:pos="220"/>
          <w:tab w:val="left" w:pos="720"/>
        </w:tabs>
        <w:autoSpaceDE w:val="0"/>
        <w:autoSpaceDN w:val="0"/>
        <w:adjustRightInd w:val="0"/>
        <w:spacing w:before="120" w:after="120" w:line="360" w:lineRule="auto"/>
      </w:pPr>
      <w:hyperlink r:id="rId18" w:anchor="!prod/f48ed1d4-7564-ea11-a811-000d3a0bad7c/curr/GBP" w:history="1">
        <w:r w:rsidR="00FF50F6" w:rsidRPr="0081136F">
          <w:rPr>
            <w:rStyle w:val="Hyperlink"/>
          </w:rPr>
          <w:t>Accident Record</w:t>
        </w:r>
      </w:hyperlink>
      <w:r w:rsidR="00FF50F6">
        <w:t xml:space="preserve"> (Early Years Alliance </w:t>
      </w:r>
      <w:r w:rsidR="009330DC">
        <w:t>2019)</w:t>
      </w:r>
    </w:p>
    <w:p w14:paraId="561FD65A" w14:textId="2CE0FC69" w:rsidR="00D359F4" w:rsidRPr="00CB3950" w:rsidRDefault="00A748AA" w:rsidP="00CE734B">
      <w:pPr>
        <w:widowControl w:val="0"/>
        <w:tabs>
          <w:tab w:val="left" w:pos="220"/>
          <w:tab w:val="left" w:pos="720"/>
        </w:tabs>
        <w:autoSpaceDE w:val="0"/>
        <w:autoSpaceDN w:val="0"/>
        <w:adjustRightInd w:val="0"/>
        <w:spacing w:before="120" w:after="120" w:line="360" w:lineRule="auto"/>
        <w:rPr>
          <w:rFonts w:cs="Arial"/>
          <w:bCs/>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9" w:history="1">
        <w:r w:rsidR="00556F1B" w:rsidRPr="005C593D">
          <w:rPr>
            <w:rStyle w:val="Hyperlink"/>
            <w:rFonts w:cs="Arial"/>
            <w:szCs w:val="22"/>
          </w:rPr>
          <w:t>https://assets.publishing.service.gov.uk/government/uploads/system/uploads/attachment_data/file/322307/HMG_MULTI_AGENCY_PRACTICE_GUIDELINES_v1_180614_FINAL.pdf</w:t>
        </w:r>
      </w:hyperlink>
    </w:p>
    <w:sectPr w:rsidR="00D359F4" w:rsidRPr="00CB3950" w:rsidSect="00E61F36">
      <w:footerReference w:type="defaul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743F9" w14:textId="77777777" w:rsidR="00490C00" w:rsidRDefault="00490C00">
      <w:r>
        <w:separator/>
      </w:r>
    </w:p>
  </w:endnote>
  <w:endnote w:type="continuationSeparator" w:id="0">
    <w:p w14:paraId="07E8B5EC" w14:textId="77777777" w:rsidR="00490C00" w:rsidRDefault="00490C00">
      <w:r>
        <w:continuationSeparator/>
      </w:r>
    </w:p>
  </w:endnote>
  <w:endnote w:type="continuationNotice" w:id="1">
    <w:p w14:paraId="2D62480A" w14:textId="77777777" w:rsidR="00490C00" w:rsidRDefault="00490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DD95" w14:textId="3FA3C566" w:rsidR="006E2F36" w:rsidRPr="00914DA0" w:rsidRDefault="006E2F36">
    <w:pPr>
      <w:pStyle w:val="Footer"/>
      <w:rPr>
        <w:rFonts w:cs="Arial"/>
        <w:sz w:val="20"/>
      </w:rPr>
    </w:pPr>
    <w:r w:rsidRPr="00914DA0">
      <w:rPr>
        <w:rFonts w:cs="Arial"/>
        <w:i/>
        <w:iCs/>
        <w:sz w:val="20"/>
      </w:rPr>
      <w:t>Policies &amp; Procedures for the EYFS 2021</w:t>
    </w:r>
    <w:r w:rsidRPr="00914DA0">
      <w:rPr>
        <w:rFonts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2ED54" w14:textId="77777777" w:rsidR="00490C00" w:rsidRDefault="00490C00">
      <w:r>
        <w:separator/>
      </w:r>
    </w:p>
  </w:footnote>
  <w:footnote w:type="continuationSeparator" w:id="0">
    <w:p w14:paraId="01A15494" w14:textId="77777777" w:rsidR="00490C00" w:rsidRDefault="00490C00">
      <w:r>
        <w:continuationSeparator/>
      </w:r>
    </w:p>
  </w:footnote>
  <w:footnote w:type="continuationNotice" w:id="1">
    <w:p w14:paraId="3210761F" w14:textId="77777777" w:rsidR="00490C00" w:rsidRDefault="00490C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490B"/>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0C0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5185"/>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778"/>
    <w:rsid w:val="005D53C4"/>
    <w:rsid w:val="005D5787"/>
    <w:rsid w:val="005D59F4"/>
    <w:rsid w:val="005D5E51"/>
    <w:rsid w:val="005D6211"/>
    <w:rsid w:val="005D7170"/>
    <w:rsid w:val="005D793F"/>
    <w:rsid w:val="005E0661"/>
    <w:rsid w:val="005E07F0"/>
    <w:rsid w:val="005E1E47"/>
    <w:rsid w:val="005E2596"/>
    <w:rsid w:val="005E2DD6"/>
    <w:rsid w:val="005E361D"/>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43D"/>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355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705"/>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084"/>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4911"/>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0770"/>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2D7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0068"/>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A39"/>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499"/>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6DDD"/>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93C"/>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portal.eyalliance.org.uk/Sho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3FD0193E-59E1-410B-B078-D4D3239D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Maja Sarzalska</cp:lastModifiedBy>
  <cp:revision>19</cp:revision>
  <cp:lastPrinted>2024-09-22T17:20:00Z</cp:lastPrinted>
  <dcterms:created xsi:type="dcterms:W3CDTF">2021-07-21T15:26:00Z</dcterms:created>
  <dcterms:modified xsi:type="dcterms:W3CDTF">2024-09-22T17:20:00Z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